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Rowan Tree Group</w:t>
      </w:r>
    </w:p>
    <w:p w:rsidR="00000000" w:rsidDel="00000000" w:rsidP="00000000" w:rsidRDefault="00000000" w:rsidRPr="00000000" w14:paraId="00000002">
      <w:pPr>
        <w:rPr/>
      </w:pPr>
      <w:r w:rsidDel="00000000" w:rsidR="00000000" w:rsidRPr="00000000">
        <w:rPr>
          <w:rtl w:val="0"/>
        </w:rPr>
        <w:br w:type="textWrapping"/>
      </w:r>
      <w:r w:rsidDel="00000000" w:rsidR="00000000" w:rsidRPr="00000000">
        <w:rPr>
          <w:b w:val="1"/>
          <w:bCs w:val="1"/>
          <w:rtl w:val="0"/>
        </w:rPr>
        <w:t xml:space="preserve">Disclosure of Information Policy</w:t>
      </w:r>
      <w:r w:rsidDel="00000000" w:rsidR="00000000" w:rsidRPr="00000000">
        <w:rPr>
          <w:rtl w:val="0"/>
        </w:rPr>
        <w:br w:type="textWrapping"/>
      </w:r>
      <w:r w:rsidDel="00000000" w:rsidR="00000000" w:rsidRPr="00000000">
        <w:rPr>
          <w:b w:val="1"/>
          <w:bCs w:val="1"/>
          <w:rtl w:val="0"/>
        </w:rPr>
        <w:t xml:space="preserve">Version:</w:t>
      </w:r>
      <w:r w:rsidDel="00000000" w:rsidR="00000000" w:rsidRPr="00000000">
        <w:rPr>
          <w:rtl w:val="0"/>
        </w:rPr>
        <w:t xml:space="preserve"> 1.0</w:t>
        <w:br w:type="textWrapping"/>
      </w:r>
      <w:r w:rsidDel="00000000" w:rsidR="00000000" w:rsidRPr="00000000">
        <w:rPr>
          <w:b w:val="1"/>
          <w:bCs w:val="1"/>
          <w:rtl w:val="0"/>
        </w:rPr>
        <w:t xml:space="preserve">Approved by:</w:t>
      </w:r>
      <w:r w:rsidDel="00000000" w:rsidR="00000000" w:rsidRPr="00000000">
        <w:rPr>
          <w:rtl w:val="0"/>
        </w:rPr>
        <w:t xml:space="preserve"> Dot Wright - Class Rep</w:t>
        <w:br w:type="textWrapping"/>
      </w:r>
      <w:r w:rsidDel="00000000" w:rsidR="00000000" w:rsidRPr="00000000">
        <w:rPr>
          <w:b w:val="1"/>
          <w:bCs w:val="1"/>
          <w:rtl w:val="0"/>
        </w:rPr>
        <w:t xml:space="preserve">Review Date:</w:t>
      </w:r>
      <w:r w:rsidDel="00000000" w:rsidR="00000000" w:rsidRPr="00000000">
        <w:rPr>
          <w:rtl w:val="0"/>
        </w:rPr>
        <w:t xml:space="preserve"> Annually, as part of Rowan Tree Group’s policy review cycle.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1. Purpose and Scope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policy establishes the rules and procedures for how Rowan Tree Group collects, uses, stores, and discloses information, with a strong emphasis on protecting confidential and personal data. It ensures compliance with relevant data protection legislation and outlines employee responsibilities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policy applies to all employees, contractors, volunteers, and third-party vendors working with Rowan Tree Group.</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2. Definitions</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b w:val="1"/>
          <w:bCs w:val="1"/>
          <w:rtl w:val="0"/>
        </w:rPr>
        <w:t xml:space="preserve">Confidential Information:</w:t>
      </w:r>
      <w:r w:rsidDel="00000000" w:rsidR="00000000" w:rsidRPr="00000000">
        <w:rPr>
          <w:rtl w:val="0"/>
        </w:rPr>
        <w:t xml:space="preserve"> Non-public information related to the organisation's business, employees, customers, or partners, the disclosure of which could cause harm.</w:t>
      </w:r>
    </w:p>
    <w:p w:rsidR="00000000" w:rsidDel="00000000" w:rsidP="00000000" w:rsidRDefault="00000000" w:rsidRPr="00000000" w14:paraId="0000000B">
      <w:pPr>
        <w:numPr>
          <w:ilvl w:val="0"/>
          <w:numId w:val="1"/>
        </w:numPr>
        <w:ind w:left="720" w:hanging="360"/>
        <w:rPr/>
      </w:pPr>
      <w:r w:rsidDel="00000000" w:rsidR="00000000" w:rsidRPr="00000000">
        <w:rPr>
          <w:b w:val="1"/>
          <w:bCs w:val="1"/>
          <w:rtl w:val="0"/>
        </w:rPr>
        <w:t xml:space="preserve">Personal Data:</w:t>
      </w:r>
      <w:r w:rsidDel="00000000" w:rsidR="00000000" w:rsidRPr="00000000">
        <w:rPr>
          <w:rtl w:val="0"/>
        </w:rPr>
        <w:t xml:space="preserve"> Any information relating to an identified or identifiable individual.</w:t>
      </w:r>
    </w:p>
    <w:p w:rsidR="00000000" w:rsidDel="00000000" w:rsidP="00000000" w:rsidRDefault="00000000" w:rsidRPr="00000000" w14:paraId="0000000C">
      <w:pPr>
        <w:numPr>
          <w:ilvl w:val="0"/>
          <w:numId w:val="1"/>
        </w:numPr>
        <w:ind w:left="720" w:hanging="360"/>
        <w:rPr/>
      </w:pPr>
      <w:r w:rsidDel="00000000" w:rsidR="00000000" w:rsidRPr="00000000">
        <w:rPr>
          <w:b w:val="1"/>
          <w:bCs w:val="1"/>
          <w:rtl w:val="0"/>
        </w:rPr>
        <w:t xml:space="preserve">Processing:</w:t>
      </w:r>
      <w:r w:rsidDel="00000000" w:rsidR="00000000" w:rsidRPr="00000000">
        <w:rPr>
          <w:rtl w:val="0"/>
        </w:rPr>
        <w:t xml:space="preserve"> Any operation performed on personal data, including collection, storage, use, and disclosure.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3. Policy Statement</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Rowan Tree Group is committed to handling all information securely, transparently, and in accordance with legal and ethical standards.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We will process personal data lawfully, fairly, and in a transparent manner.</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Information will be collected only for specified, explicit, and legitimate purposes.</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Disclosure of information will only occur with a valid lawful basis or the express permission of the individual concerned, unless a legal or public interest exemption applies.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4. Principles of Disclosure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All disclosures must adhere to the following principles:</w:t>
      </w:r>
    </w:p>
    <w:p w:rsidR="00000000" w:rsidDel="00000000" w:rsidP="00000000" w:rsidRDefault="00000000" w:rsidRPr="00000000" w14:paraId="00000017">
      <w:pPr>
        <w:numPr>
          <w:ilvl w:val="0"/>
          <w:numId w:val="3"/>
        </w:numPr>
        <w:ind w:left="720" w:hanging="360"/>
        <w:rPr/>
      </w:pPr>
      <w:r w:rsidDel="00000000" w:rsidR="00000000" w:rsidRPr="00000000">
        <w:rPr>
          <w:b w:val="1"/>
          <w:bCs w:val="1"/>
          <w:rtl w:val="0"/>
        </w:rPr>
        <w:t xml:space="preserve">Lawful Basis:</w:t>
      </w:r>
      <w:r w:rsidDel="00000000" w:rsidR="00000000" w:rsidRPr="00000000">
        <w:rPr>
          <w:rtl w:val="0"/>
        </w:rPr>
        <w:t xml:space="preserve"> There must be a clear legal basis for any disclosure, such as consent, legal obligation, or legitimate interests.</w:t>
      </w:r>
    </w:p>
    <w:p w:rsidR="00000000" w:rsidDel="00000000" w:rsidP="00000000" w:rsidRDefault="00000000" w:rsidRPr="00000000" w14:paraId="00000018">
      <w:pPr>
        <w:numPr>
          <w:ilvl w:val="0"/>
          <w:numId w:val="3"/>
        </w:numPr>
        <w:ind w:left="720" w:hanging="360"/>
        <w:rPr/>
      </w:pPr>
      <w:r w:rsidDel="00000000" w:rsidR="00000000" w:rsidRPr="00000000">
        <w:rPr>
          <w:b w:val="1"/>
          <w:bCs w:val="1"/>
          <w:rtl w:val="0"/>
        </w:rPr>
        <w:t xml:space="preserve">Proportionality and Necessity:</w:t>
      </w:r>
      <w:r w:rsidDel="00000000" w:rsidR="00000000" w:rsidRPr="00000000">
        <w:rPr>
          <w:rtl w:val="0"/>
        </w:rPr>
        <w:t xml:space="preserve"> Only the minimum amount of information required to achieve the purpose of the disclosure should be shared.</w:t>
      </w:r>
    </w:p>
    <w:p w:rsidR="00000000" w:rsidDel="00000000" w:rsidP="00000000" w:rsidRDefault="00000000" w:rsidRPr="00000000" w14:paraId="00000019">
      <w:pPr>
        <w:numPr>
          <w:ilvl w:val="0"/>
          <w:numId w:val="3"/>
        </w:numPr>
        <w:ind w:left="720" w:hanging="360"/>
        <w:rPr/>
      </w:pPr>
      <w:r w:rsidDel="00000000" w:rsidR="00000000" w:rsidRPr="00000000">
        <w:rPr>
          <w:b w:val="1"/>
          <w:bCs w:val="1"/>
          <w:rtl w:val="0"/>
        </w:rPr>
        <w:t xml:space="preserve">Confidentiality:</w:t>
      </w:r>
      <w:r w:rsidDel="00000000" w:rsidR="00000000" w:rsidRPr="00000000">
        <w:rPr>
          <w:rtl w:val="0"/>
        </w:rPr>
        <w:t xml:space="preserve"> All staff have a duty of confidentiality. Information must be kept secure and not discussed in public areas.</w:t>
      </w:r>
    </w:p>
    <w:p w:rsidR="00000000" w:rsidDel="00000000" w:rsidP="00000000" w:rsidRDefault="00000000" w:rsidRPr="00000000" w14:paraId="0000001A">
      <w:pPr>
        <w:numPr>
          <w:ilvl w:val="0"/>
          <w:numId w:val="3"/>
        </w:numPr>
        <w:ind w:left="720" w:hanging="360"/>
        <w:rPr/>
      </w:pPr>
      <w:r w:rsidDel="00000000" w:rsidR="00000000" w:rsidRPr="00000000">
        <w:rPr>
          <w:b w:val="1"/>
          <w:bCs w:val="1"/>
          <w:rtl w:val="0"/>
        </w:rPr>
        <w:t xml:space="preserve">Security:</w:t>
      </w:r>
      <w:r w:rsidDel="00000000" w:rsidR="00000000" w:rsidRPr="00000000">
        <w:rPr>
          <w:rtl w:val="0"/>
        </w:rPr>
        <w:t xml:space="preserve"> Information must be disclosed using secure, approved methods (e.g., secure encrypted email, restricted-access systems).</w:t>
      </w:r>
    </w:p>
    <w:p w:rsidR="00000000" w:rsidDel="00000000" w:rsidP="00000000" w:rsidRDefault="00000000" w:rsidRPr="00000000" w14:paraId="0000001B">
      <w:pPr>
        <w:numPr>
          <w:ilvl w:val="0"/>
          <w:numId w:val="3"/>
        </w:numPr>
        <w:ind w:left="720" w:hanging="360"/>
        <w:rPr/>
      </w:pPr>
      <w:r w:rsidDel="00000000" w:rsidR="00000000" w:rsidRPr="00000000">
        <w:rPr>
          <w:b w:val="1"/>
          <w:bCs w:val="1"/>
          <w:rtl w:val="0"/>
        </w:rPr>
        <w:t xml:space="preserve">Accountability:</w:t>
      </w:r>
      <w:r w:rsidDel="00000000" w:rsidR="00000000" w:rsidRPr="00000000">
        <w:rPr>
          <w:rtl w:val="0"/>
        </w:rPr>
        <w:t xml:space="preserve"> All disclosure decisions must be recorded, including the justification, what information was shared, when, and with whom.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5. Procedures for Disclosure</w:t>
      </w: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5.1 Internal Disclosure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Information may be shared internally on a strictly "need-to-know" basis to perform official job duties. Access to sensitive information folders is restricted and password-protected.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5.2 External Disclosure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Information will not be shared with external third parties unless:</w:t>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The individual concerned has provided explicit, informed consent.</w:t>
      </w:r>
    </w:p>
    <w:p w:rsidR="00000000" w:rsidDel="00000000" w:rsidP="00000000" w:rsidRDefault="00000000" w:rsidRPr="00000000" w14:paraId="00000024">
      <w:pPr>
        <w:numPr>
          <w:ilvl w:val="0"/>
          <w:numId w:val="4"/>
        </w:numPr>
        <w:ind w:left="720" w:hanging="360"/>
        <w:rPr/>
      </w:pPr>
      <w:r w:rsidDel="00000000" w:rsidR="00000000" w:rsidRPr="00000000">
        <w:rPr>
          <w:rtl w:val="0"/>
        </w:rPr>
        <w:t xml:space="preserve">There is a statutory or legal duty to disclose (e.g., court order, police investigation).</w:t>
      </w:r>
    </w:p>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Disclosure is necessary to prevent serious harm to an individual or the public, and it is in the public interest.</w:t>
      </w:r>
    </w:p>
    <w:p w:rsidR="00000000" w:rsidDel="00000000" w:rsidP="00000000" w:rsidRDefault="00000000" w:rsidRPr="00000000" w14:paraId="00000026">
      <w:pPr>
        <w:rPr/>
      </w:pPr>
      <w:r w:rsidDel="00000000" w:rsidR="00000000" w:rsidRPr="00000000">
        <w:rPr>
          <w:rtl w:val="0"/>
        </w:rPr>
        <w:t xml:space="preserve">Any external request for confidential or personal data must be verified and approved by the Rowan Tree Group Admin Team.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5. Responding to Requests for Information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As a home-education group, Rowan Tree Group is </w:t>
      </w:r>
      <w:r w:rsidDel="00000000" w:rsidR="00000000" w:rsidRPr="00000000">
        <w:rPr>
          <w:i w:val="1"/>
          <w:iCs w:val="1"/>
          <w:rtl w:val="0"/>
        </w:rPr>
        <w:t xml:space="preserve">not</w:t>
      </w:r>
      <w:r w:rsidDel="00000000" w:rsidR="00000000" w:rsidRPr="00000000">
        <w:rPr>
          <w:rtl w:val="0"/>
        </w:rPr>
        <w:t xml:space="preserve"> a public authority and is therefore not subject to the Freedom of Information Act (FOIA).</w:t>
      </w:r>
    </w:p>
    <w:p w:rsidR="00000000" w:rsidDel="00000000" w:rsidP="00000000" w:rsidRDefault="00000000" w:rsidRPr="00000000" w14:paraId="0000002A">
      <w:pPr>
        <w:rPr/>
      </w:pPr>
      <w:r w:rsidDel="00000000" w:rsidR="00000000" w:rsidRPr="00000000">
        <w:rPr>
          <w:rtl w:val="0"/>
        </w:rPr>
        <w:t xml:space="preserve">However, under the UK General Data Protection Regulation (UK GDPR) and the Data Protection Act 2018, individuals have the right to request access to any </w:t>
      </w:r>
      <w:r w:rsidDel="00000000" w:rsidR="00000000" w:rsidRPr="00000000">
        <w:rPr>
          <w:i w:val="1"/>
          <w:iCs w:val="1"/>
          <w:rtl w:val="0"/>
        </w:rPr>
        <w:t xml:space="preserve">personal data</w:t>
      </w:r>
      <w:r w:rsidDel="00000000" w:rsidR="00000000" w:rsidRPr="00000000">
        <w:rPr>
          <w:rtl w:val="0"/>
        </w:rPr>
        <w:t xml:space="preserve"> we hold about them (a Subject Access Request).</w:t>
      </w:r>
    </w:p>
    <w:p w:rsidR="00000000" w:rsidDel="00000000" w:rsidP="00000000" w:rsidRDefault="00000000" w:rsidRPr="00000000" w14:paraId="0000002B">
      <w:pPr>
        <w:rPr/>
      </w:pPr>
      <w:r w:rsidDel="00000000" w:rsidR="00000000" w:rsidRPr="00000000">
        <w:rPr>
          <w:rtl w:val="0"/>
        </w:rPr>
        <w:t xml:space="preserve">All Subject Access Requests (SARs), or any communication that appears to request personal data, must be forwarded immediately to the Admin Team, who oversee data protection compliance for Rowan Tree Group. Details can be found on the website. </w:t>
      </w:r>
    </w:p>
    <w:p w:rsidR="00000000" w:rsidDel="00000000" w:rsidP="00000000" w:rsidRDefault="00000000" w:rsidRPr="00000000" w14:paraId="0000002C">
      <w:pPr>
        <w:rPr/>
      </w:pPr>
      <w:r w:rsidDel="00000000" w:rsidR="00000000" w:rsidRPr="00000000">
        <w:rPr>
          <w:rtl w:val="0"/>
        </w:rPr>
        <w:t xml:space="preserve">We will acknowledge and respond to SARs within the statutory timeframe and in accordance with our Data Protection Policy.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6. Data Security and Handling</w:t>
      </w:r>
      <w:r w:rsidDel="00000000" w:rsidR="00000000" w:rsidRPr="00000000">
        <w:rPr>
          <w:rtl w:val="0"/>
        </w:rPr>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Confidential documents must be stored in locked cabinets or password-protected digital folders. This includes DBS documents</w:t>
      </w:r>
    </w:p>
    <w:p w:rsidR="00000000" w:rsidDel="00000000" w:rsidP="00000000" w:rsidRDefault="00000000" w:rsidRPr="00000000" w14:paraId="00000030">
      <w:pPr>
        <w:numPr>
          <w:ilvl w:val="0"/>
          <w:numId w:val="5"/>
        </w:numPr>
        <w:ind w:left="720" w:hanging="360"/>
        <w:rPr/>
      </w:pPr>
      <w:r w:rsidDel="00000000" w:rsidR="00000000" w:rsidRPr="00000000">
        <w:rPr>
          <w:rtl w:val="0"/>
        </w:rPr>
        <w:t xml:space="preserve">When no longer needed, documents must be securely shredded or electronically deleted according to Rowan Tree Group Data Retention Policy.</w:t>
      </w:r>
    </w:p>
    <w:p w:rsidR="00000000" w:rsidDel="00000000" w:rsidP="00000000" w:rsidRDefault="00000000" w:rsidRPr="00000000" w14:paraId="00000031">
      <w:pPr>
        <w:numPr>
          <w:ilvl w:val="0"/>
          <w:numId w:val="5"/>
        </w:numPr>
        <w:ind w:left="720" w:hanging="360"/>
        <w:rPr/>
      </w:pPr>
      <w:r w:rsidDel="00000000" w:rsidR="00000000" w:rsidRPr="00000000">
        <w:rPr>
          <w:rtl w:val="0"/>
        </w:rPr>
        <w:t xml:space="preserve">The use of personal email or unencrypted devices for handling confidential information is strictly prohibited.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7. Non-Compliance</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Any breach of this policy may result in disciplinary action, up to and including termination of employment, and potential legal prosecution.</w:t>
      </w:r>
    </w:p>
    <w:p w:rsidR="00000000" w:rsidDel="00000000" w:rsidP="00000000" w:rsidRDefault="00000000" w:rsidRPr="00000000" w14:paraId="00000035">
      <w:pPr>
        <w:rPr/>
      </w:pPr>
      <w:r w:rsidDel="00000000" w:rsidR="00000000" w:rsidRPr="00000000">
        <w:rPr>
          <w:rtl w:val="0"/>
        </w:rPr>
        <w:t xml:space="preserve">Volunteers and staff of Rowan Tree Group who have concerns about potential wrongdoing or breaches of this policy should report them to Rowan Tree Group Admin Team.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8. Review</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This policy will be reviewed annually by the Oversight Group to ensure ongoing compliance with legal requirements and best practices.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F02C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F02C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F02C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F02C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F02C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F02C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F02C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F02C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F02C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F02C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F02C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F02C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F02C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F02C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F02C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F02C8"/>
    <w:rPr>
      <w:i w:val="1"/>
      <w:iCs w:val="1"/>
      <w:color w:val="404040" w:themeColor="text1" w:themeTint="0000BF"/>
    </w:rPr>
  </w:style>
  <w:style w:type="paragraph" w:styleId="ListParagraph">
    <w:name w:val="List Paragraph"/>
    <w:basedOn w:val="Normal"/>
    <w:uiPriority w:val="34"/>
    <w:qFormat w:val="1"/>
    <w:rsid w:val="008F02C8"/>
    <w:pPr>
      <w:ind w:left="720"/>
      <w:contextualSpacing w:val="1"/>
    </w:pPr>
  </w:style>
  <w:style w:type="character" w:styleId="IntenseEmphasis">
    <w:name w:val="Intense Emphasis"/>
    <w:basedOn w:val="DefaultParagraphFont"/>
    <w:uiPriority w:val="21"/>
    <w:qFormat w:val="1"/>
    <w:rsid w:val="008F02C8"/>
    <w:rPr>
      <w:i w:val="1"/>
      <w:iCs w:val="1"/>
      <w:color w:val="0f4761" w:themeColor="accent1" w:themeShade="0000BF"/>
    </w:rPr>
  </w:style>
  <w:style w:type="paragraph" w:styleId="IntenseQuote">
    <w:name w:val="Intense Quote"/>
    <w:basedOn w:val="Normal"/>
    <w:next w:val="Normal"/>
    <w:link w:val="IntenseQuoteChar"/>
    <w:uiPriority w:val="30"/>
    <w:qFormat w:val="1"/>
    <w:rsid w:val="008F02C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F02C8"/>
    <w:rPr>
      <w:i w:val="1"/>
      <w:iCs w:val="1"/>
      <w:color w:val="0f4761" w:themeColor="accent1" w:themeShade="0000BF"/>
    </w:rPr>
  </w:style>
  <w:style w:type="character" w:styleId="IntenseReference">
    <w:name w:val="Intense Reference"/>
    <w:basedOn w:val="DefaultParagraphFont"/>
    <w:uiPriority w:val="32"/>
    <w:qFormat w:val="1"/>
    <w:rsid w:val="008F02C8"/>
    <w:rPr>
      <w:b w:val="1"/>
      <w:bCs w:val="1"/>
      <w:smallCaps w:val="1"/>
      <w:color w:val="0f4761" w:themeColor="accent1" w:themeShade="0000BF"/>
      <w:spacing w:val="5"/>
    </w:rPr>
  </w:style>
  <w:style w:type="paragraph" w:styleId="Revision">
    <w:name w:val="Revision"/>
    <w:hidden w:val="1"/>
    <w:uiPriority w:val="99"/>
    <w:semiHidden w:val="1"/>
    <w:rsid w:val="008F02C8"/>
    <w:pPr>
      <w:spacing w:after="0" w:line="240" w:lineRule="auto"/>
    </w:pPr>
  </w:style>
  <w:style w:type="character" w:styleId="CommentReference">
    <w:name w:val="annotation reference"/>
    <w:basedOn w:val="DefaultParagraphFont"/>
    <w:uiPriority w:val="99"/>
    <w:semiHidden w:val="1"/>
    <w:unhideWhenUsed w:val="1"/>
    <w:rsid w:val="008F02C8"/>
    <w:rPr>
      <w:sz w:val="16"/>
      <w:szCs w:val="16"/>
    </w:rPr>
  </w:style>
  <w:style w:type="paragraph" w:styleId="CommentText">
    <w:name w:val="annotation text"/>
    <w:basedOn w:val="Normal"/>
    <w:link w:val="CommentTextChar"/>
    <w:uiPriority w:val="99"/>
    <w:unhideWhenUsed w:val="1"/>
    <w:rsid w:val="008F02C8"/>
    <w:pPr>
      <w:spacing w:line="240" w:lineRule="auto"/>
    </w:pPr>
    <w:rPr>
      <w:sz w:val="20"/>
      <w:szCs w:val="20"/>
    </w:rPr>
  </w:style>
  <w:style w:type="character" w:styleId="CommentTextChar" w:customStyle="1">
    <w:name w:val="Comment Text Char"/>
    <w:basedOn w:val="DefaultParagraphFont"/>
    <w:link w:val="CommentText"/>
    <w:uiPriority w:val="99"/>
    <w:rsid w:val="008F02C8"/>
    <w:rPr>
      <w:sz w:val="20"/>
      <w:szCs w:val="20"/>
    </w:rPr>
  </w:style>
  <w:style w:type="paragraph" w:styleId="CommentSubject">
    <w:name w:val="annotation subject"/>
    <w:basedOn w:val="CommentText"/>
    <w:next w:val="CommentText"/>
    <w:link w:val="CommentSubjectChar"/>
    <w:uiPriority w:val="99"/>
    <w:semiHidden w:val="1"/>
    <w:unhideWhenUsed w:val="1"/>
    <w:rsid w:val="008F02C8"/>
    <w:rPr>
      <w:b w:val="1"/>
      <w:bCs w:val="1"/>
    </w:rPr>
  </w:style>
  <w:style w:type="character" w:styleId="CommentSubjectChar" w:customStyle="1">
    <w:name w:val="Comment Subject Char"/>
    <w:basedOn w:val="CommentTextChar"/>
    <w:link w:val="CommentSubject"/>
    <w:uiPriority w:val="99"/>
    <w:semiHidden w:val="1"/>
    <w:rsid w:val="008F02C8"/>
    <w:rPr>
      <w:b w:val="1"/>
      <w:bCs w:val="1"/>
      <w:sz w:val="20"/>
      <w:szCs w:val="20"/>
    </w:rPr>
  </w:style>
  <w:style w:type="paragraph" w:styleId="Header">
    <w:name w:val="header"/>
    <w:basedOn w:val="Normal"/>
    <w:link w:val="HeaderChar"/>
    <w:uiPriority w:val="99"/>
    <w:unhideWhenUsed w:val="1"/>
    <w:rsid w:val="00505C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5C5F"/>
  </w:style>
  <w:style w:type="paragraph" w:styleId="Footer">
    <w:name w:val="footer"/>
    <w:basedOn w:val="Normal"/>
    <w:link w:val="FooterChar"/>
    <w:uiPriority w:val="99"/>
    <w:unhideWhenUsed w:val="1"/>
    <w:rsid w:val="00505C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5C5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n5lLRRQoGyl6zC8IkPl0LNJdg==">CgMxLjA4AHIhMXcyUENRRU45RC1FTjNmZUdwd0NZSktGZTdfVUJTbER3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2025-12-06T21:49:00Z</dcterms:created>
  <dc:creator>Em Williams</dc:creator>
</cp:coreProperties>
</file>